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keepNext w:val="false"/>
        <w:keepLines w:val="false"/>
        <w:pageBreakBefore w:val="false"/>
        <w:kinsoku/>
        <w:wordWrap/>
        <w:overflowPunct/>
        <w:topLinePunct w:val="false"/>
        <w:autoSpaceDE/>
        <w:autoSpaceDN/>
        <w:bidi w:val="false"/>
        <w:adjustRightInd/>
        <w:snapToGrid/>
        <w:ind w:left="0" w:leftChars="0" w:right="0" w:rightChars="0" w:firstLine="420" w:firstLineChars="200"/>
        <w:jc w:val="center"/>
        <w:textAlignment w:val="auto"/>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pP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读书报告</w:t>
      </w: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《甲午战争前后与晚清政局   石泉著》</w:t>
      </w:r>
    </w:p>
    <w:p>
      <w:pPr>
        <w:pStyle w:val="style0"/>
        <w:keepNext w:val="false"/>
        <w:keepLines w:val="false"/>
        <w:pageBreakBefore w:val="false"/>
        <w:kinsoku/>
        <w:wordWrap/>
        <w:overflowPunct/>
        <w:topLinePunct w:val="false"/>
        <w:autoSpaceDE/>
        <w:autoSpaceDN/>
        <w:bidi w:val="false"/>
        <w:adjustRightInd/>
        <w:snapToGrid/>
        <w:ind w:left="0" w:leftChars="0" w:right="0" w:rightChars="0" w:firstLine="420" w:firstLineChars="200"/>
        <w:jc w:val="both"/>
        <w:textAlignment w:val="auto"/>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pP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 xml:space="preserve">   </w:t>
      </w: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材料学院林工2班   李双   160701220</w:t>
      </w:r>
    </w:p>
    <w:p>
      <w:pPr>
        <w:pStyle w:val="style0"/>
        <w:keepNext w:val="false"/>
        <w:keepLines w:val="false"/>
        <w:pageBreakBefore w:val="false"/>
        <w:widowControl w:val="false"/>
        <w:kinsoku/>
        <w:wordWrap/>
        <w:overflowPunct/>
        <w:topLinePunct w:val="false"/>
        <w:autoSpaceDE/>
        <w:autoSpaceDN/>
        <w:bidi w:val="false"/>
        <w:adjustRightInd/>
        <w:snapToGrid/>
        <w:ind w:left="0" w:leftChars="0" w:right="0" w:rightChars="0" w:firstLine="420" w:firstLineChars="200"/>
        <w:jc w:val="both"/>
        <w:textAlignment w:val="auto"/>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中日甲午战争为19世纪末日本侵略中国和朝鲜的战争。</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甲午战争以1894年(清光绪二十年)7月25日丰岛海战的爆发为开端，至</w:t>
      </w:r>
      <w:bookmarkStart w:id="0" w:name="_GoBack"/>
      <w:bookmarkEnd w:id="0"/>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1895年4月17日《</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"http://baike.so.com/doc/265573-281133.html"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马关条约</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》签字结束。这场战争以中国战败、北洋水师全军覆没告终。中国清朝政府迫于</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"http://baike.so.com/doc/6300972-6514495.html"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日本军国主义</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的军事压力，签订了丧权辱国的</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"http://baike.so.com/doc/6525692-6739424.html"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不平等条约</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"http://baike.so.com/doc/265573-281133.html"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马关条约</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《马关条约》（又称《春帆楼条约》）共11款，并附有“另约”和“议订专条”。条约的主要内容为：</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①中国承认朝鲜“完全无缺之独立自主”；实则承认日本对朝鲜的控制；</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②中国将辽东半岛、台湾岛及所有附属各岛屿、澎湖列岛割让给日本；</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③中国“赔偿”日本军费白银两亿两；</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④开放沙市、重庆、苏州、杭州四地为通商口岸，日本政府得派遣领事官在以上各口岸驻扎，日本轮船得驶入以上各口岸搭客装货；</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⑤日本臣民得在中国通商口岸城市任便从事各项工艺制造，将各项机器任便装运进口，其产品免征一切杂税，享有在内地设栈存货的便利；</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⑥日本军队暂行占领威海卫，由中国政府每年付占领费库平银五十万两，在未经交清末次赔款之前日本不撤退占领军；</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⑦本约批准互换之后，两国将战俘尽数交还，中国政府不得处分战俘中的降敌分子，立即释放在押的为日本军队效劳的间谍分子，并一概赦免在战争中为日本军队服务的汉奸分子，免予追究。</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⑧允许日本在中国设立工厂</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pP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甲午战争的结果给中华民族带来空前严重的民族危机，大大加深了中国社会半殖民地化的程度;另一方面则使日本国力更为强大，得以跻身</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"http://baike.so.com/doc/6750719-6965278.html"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列强</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pP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此书石泉先生写于1947年春天--1948年夏天，当时就学于燕京大学研究院，在先师陈寅恪教授指导下所作的硕士论文，全书共分六章：第一章为甲午战前三十年间政局概观。第二章到第五章论述甲午战争期间清廷内部政局之变化。第六章则概括论述战后政局新形势。作者写此书的愿望是：何以中国与日本同于19世纪60年代起步仿效西方，而二十余年后，以甲午战争为标志，竟乃成败判然，国际形势、国内政局皆因之发生重大变化，下启我国此后更为动荡之历史新阶段？拟寻究其所以然之故。</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shd w:val="clear" w:color="auto" w:fill="ffffff"/>
        <w:kinsoku/>
        <w:wordWrap/>
        <w:overflowPunct/>
        <w:topLinePunct w:val="false"/>
        <w:autoSpaceDE/>
        <w:autoSpaceDN/>
        <w:bidi w:val="false"/>
        <w:adjustRightInd/>
        <w:snapToGrid/>
        <w:spacing w:before="0" w:beforeAutospacing="false" w:after="0" w:afterAutospacing="false" w:lineRule="atLeast" w:line="360"/>
        <w:ind w:left="0" w:leftChars="0" w:right="0" w:rightChars="0" w:firstLine="420" w:firstLineChars="200"/>
        <w:textAlignment w:val="auto"/>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pP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作者认为甲午战争战败的原因是在于前此三十年间自强运动之未能大规模积极进行。推究其所以然，可得三大线索：其一，则由于一般认识之不足，致使求自强之洋务工作，报收牵制，而李鸿章尤成守旧士大夫之矢的;其二，则由太平天国起事后，汉人新兴势力之崛起，是满清帝国在事实上渐由中央集权，变为地方分权，以致不可能形成一领导全国之有力核心，遂使自强工作大受限制；其三，则北京满人统治集团内亦始终有矛盾，而汉人士大夫之门户党援又从而推波助澜，遂使中央政府以内亦日趋分化，而自强工作乃益难推进。</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u w:val="none"/>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color w:val="000000"/>
          <w:sz w:val="24"/>
          <w:szCs w:val="24"/>
          <w:lang w:val="en-US" w:eastAsia="zh-CN"/>
          <w14:textFill xmlns:w14="http://schemas.microsoft.com/office/word/2010/wordml">
            <w14:solidFill>
              <w14:schemeClr w14:val="tx1"/>
            </w14:solidFill>
          </w14:textFill>
        </w:rPr>
        <w:t>石泉认为甲午战争期间政局大变迁有四：其一，则李鸿章与淮军与清流主战派夹击之下，声名扫地，大为失势，其三十年来在中国之首要地位，从此沦落。其二，则受抑十年之清流势力，在战争期间又东山再起，</w:t>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翁同龢</w:t>
      </w: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一系，尤为之重心，上结德宗，外联湘军，一方面猛烈打击李鸿章之主和，与淮军之战败；另一方面则力攻其十年来之政敌</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begin"/>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instrText xml:space="preserve"> HYPERLINK "http://baike.so.com/doc/1883981-1993249.html" \t "http://baike.so.com/doc/_blank" </w:instrTex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separate"/>
      </w:r>
      <w:r>
        <w:rPr>
          <w:rStyle w:val="style85"/>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t>孙毓汶</w:t>
      </w:r>
      <w:r>
        <w:rPr>
          <w:rFonts w:ascii="宋体" w:cs="宋体" w:eastAsia="宋体" w:hAnsi="宋体" w:hint="eastAsia"/>
          <w:b w:val="false"/>
          <w:i w:val="false"/>
          <w:caps w:val="false"/>
          <w:color w:val="000000"/>
          <w:spacing w:val="0"/>
          <w:sz w:val="24"/>
          <w:szCs w:val="24"/>
          <w:u w:val="none"/>
          <w:shd w:val="clear" w:color="auto" w:fill="ffffff"/>
          <w14:textFill xmlns:w14="http://schemas.microsoft.com/office/word/2010/wordml">
            <w14:solidFill>
              <w14:schemeClr w14:val="tx1"/>
            </w14:solidFill>
          </w14:textFill>
        </w:rPr>
        <w:fldChar w:fldCharType="end"/>
      </w:r>
      <w:r>
        <w:rPr>
          <w:rFonts w:ascii="宋体" w:cs="宋体" w:eastAsia="宋体" w:hAnsi="宋体" w:hint="eastAsia"/>
          <w:b w:val="false"/>
          <w:i w:val="false"/>
          <w:caps w:val="false"/>
          <w:color w:val="000000"/>
          <w:spacing w:val="0"/>
          <w:sz w:val="24"/>
          <w:szCs w:val="24"/>
          <w:u w:val="none"/>
          <w:shd w:val="clear" w:color="auto" w:fill="ffffff"/>
          <w:lang w:val="en-US" w:eastAsia="zh-CN"/>
          <w14:textFill xmlns:w14="http://schemas.microsoft.com/office/word/2010/wordml">
            <w14:solidFill>
              <w14:schemeClr w14:val="tx1"/>
            </w14:solidFill>
          </w14:textFill>
        </w:rPr>
        <w:t>等，皆获相当成功，但其主战政策，则为太后所抑，亦由其惟事高论，无术挽败局也。其三，则经此一战，德宗与太后之见解益分歧，而宫廷内之矛盾亦愈演愈烈，“帝党”、“后党”之对立，乃逐渐表面化。其四，则经此一战，中国军队之弱点毕露，于是北洋新军，遂于战争末期，创建于小站。</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u w:val="none"/>
          <w:shd w:val="clear" w:color="auto" w:fill="ffffff"/>
          <w:lang w:val="en-US" w:eastAsia="zh-CN"/>
          <w14:textFill xmlns:w14="http://schemas.microsoft.com/office/word/2010/wordml">
            <w14:solidFill>
              <w14:schemeClr w14:val="tx1"/>
            </w14:solidFill>
          </w14:textFill>
        </w:rPr>
        <w:t>战争以后，外患日张，国势日颓，中国政局遂失其稳定性。李鸿章既去，北洋军权渐归荣禄，而袁世凯接统新军，大加整顿，亦渐露头角。中枢则</w:t>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翁同龢</w:t>
      </w: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主政，而清流势力因康梁维新运动之大起，又趋分化，上与宫廷矛盾相结，于是帝后党争益烈，遂终爆发戊戌之变，大局从此益不可问。而革命势力，则始于甲午，乙未间萌芽海外，随时势之推移，逐渐孳长，遂终成倾覆满清帝国之先驱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英法联军侵华签订合约之后，李鸿章上书筹议海防时说：“历代备边，多在西北。其强弱之势，客主之形，皆适相埒。且犹有中外界限。今则东南海疆万余里，各国通商传教，来往自如，麇集京师及各省腹地。阳托和好之名，阴怀吞噬之计，一国生事，诸国构煽，实为数千年来未有之变局。轮船、电报之速，瞬息千里。军器机械之精，功力百倍。炮弹所到，无坚不摧。水陆关隘不足限制。又为数千年来未有之强敌......伏愿我皇上顾及社稷生民之重，时势艰危之亟。长存然不自足之怀，节省冗费，讲求军实，造就人才，皆不必拘执常例。而尤以人才为亟要。是天下有志之士无不明于洋务，庶练兵、制器、造船各事，可期逐渐精强。积诚致行，尤需岁月迟久，乃能有济。目前固须力保和局，即将来器精防固，亦不宜自我开衅。彼族或以万分无理相加，不得已而一应之尔......”李鸿章劝谏皇帝目前要想重振国威，必须对国外力保和局，国内节省开支，兴办洋务，求自强。</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甲午战争的导火线是朝鲜东学党之乱，当时李鸿章和东三省的练兵大臣定安出海校阅北洋海陆军及沿海防务。在会奏校阅情形时，对海陆军的操法、射击技术，各地炮台的坚固与威力都很赞许，然而在奏折的最后部分仍然提出中国海军的基本弱点并表达了忧虑。之后朝鲜东学党陷全州，中国出兵，日军随后，拒绝中国方面共同撤兵的提议，随后提出中日共同改革韩政策，中国拒绝并促日撤兵，日本陆奥外相以其所谓“第一次绝交书”照会中国，声明绝不撤兵后，中国方面开始渐渐感到局势的严重。北京军机处嘱李鸿章作万一的准备，无落后着。李鸿章的处境，在当时甚为孤独，彼以数十年应付西方列强与夫建设新式国防事业之甘苦经验，对于人我实力之悬殊，自身军备之弱点，实较同时当政诸人更为明了，北洋所有之实力，以之自守，尚可勉足敷用；战于境外，虽蕞尔日本，胜算亦所难必。李鸿章以为日本终不敢悍然不顾国际情势而遂发动战争。其挑衅不过是一种姿态以求有所得于他日而已。中国自身实力既不足恃，故意避免一切足以刺激日人感情，使之有所借口之行为为上。因此遂极力不主张增兵，之后的“第二次绝交书”，使北京朝野的士大夫纷起指摘，待战争爆发李鸿章遂成众矢之的，而百口莫辩。</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通过阅读石泉先生的著作，引发了我的一些思考：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一是甲午战争失败的原因。对于石泉先生所说的三十年间自强运动未能大规模进行我也深信不疑，但是我觉得是因为清王朝的闭关自守，不了解当时的国际形势，错失了像欧洲那样进行启蒙运动，资产阶级革命从精神思想到政治体制再到器械的进步，而自强运动只是把西方的技术器械引进过来，国人的精神思想并没有得到实质性的改变，国家的政治体制也没有得到当政者的重视与反思。中国卷入资本主义的潮流，落入漩涡，只能做无力的挣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二是甲午战争期间主战派和主和派的问题。甲午中日战争的发生，暴露了清廷内部的矛盾。士大夫守旧势力顽固不化与主和派的较量愈演愈烈，</w:t>
      </w: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不是一致对外，而是互相打击气焰，等到情势将定，全军上下一心，终挽不回战局，败局已定。主和派以李鸿章为首，石泉先生就李鸿章《复陈海陆兵数》一折总结出海军仅恃铁、快舰八艘，陆师则淮、练诸君三四万人，以之自守则有余，出境作战则颇不足也。对于海军，李鸿章始终认为把握甚少，难与人争胜者。而主战派对于中国之弱与日本之强实无了解，中国多年来的传统——轻视日本。清廷内部矛盾阻碍战局的扭转几率，日趋颓败。</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三是甲午战争的影响。战争失败，签订了丧权辱国的《马关条约》，大大加重了中国人民的负担，大大加深了中国半殖民地化的程度。激发了中国人民的觉醒，刺激了日本的扩张野心，掀起了西方列强瓜分中国的狂潮，更加改写了东亚的历史进程：日本脱颖而出，与欧美列强并驾齐驱，一步步走向第二次世界大战的深渊，中国国内推翻了专制王朝体制，经历了不同的曲折发展的道路，最终选择了社会主义道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习主席说：“</w:t>
      </w:r>
      <w:r>
        <w:rPr>
          <w:rFonts w:ascii="宋体" w:cs="宋体" w:eastAsia="宋体" w:hAnsi="宋体" w:hint="eastAsia"/>
          <w:b w:val="false"/>
          <w:i w:val="false"/>
          <w:caps w:val="false"/>
          <w:color w:val="000000"/>
          <w:spacing w:val="0"/>
          <w:sz w:val="24"/>
          <w:szCs w:val="24"/>
          <w:shd w:val="clear" w:color="auto" w:fill="ffffff"/>
          <w14:textFill xmlns:w14="http://schemas.microsoft.com/office/word/2010/wordml">
            <w14:solidFill>
              <w14:schemeClr w14:val="tx1"/>
            </w14:solidFill>
          </w14:textFill>
        </w:rPr>
        <w:t>历史是现实的根源，任何一个国家的今天都来自昨天。甲午战争是一场深刻影响和改变了两个国家命运的战争，这两个国家一个是中国，一个是日本。再往大处看，它还在相当程度上影响了世界历史。当然，受影响最大的还是中国。对中国而言，这场战争的历史深刻性在于两点：一、战争失败了，但失败的原因至今仍在追问之中;二、战争虽然早已结束，但战争的伤口并未愈合，仍然横亘在历史和现实之间。对这场战争疑问的解答，构成了我们民族进步的阶梯。从这个意义上讲，甲午战争已成为一种标志，一个符号。</w:t>
      </w: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r>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t>甲午战争的失败是民族的耻辱，但正是因为这个耻辱，才能让当时的国民认清自己，继而改变自己，中国真真正正地进步，向前发展，追逐世界发展的浪潮，融入世界。甲午战争已经结束，我们要时时刻刻以之为警戒，构成民族进步的阶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4"/>
          <w:szCs w:val="24"/>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b w:val="false"/>
          <w:i w:val="false"/>
          <w:caps w:val="false"/>
          <w:color w:val="000000"/>
          <w:spacing w:val="0"/>
          <w:sz w:val="21"/>
          <w:szCs w:val="21"/>
          <w:shd w:val="clear" w:color="auto" w:fill="ffffff"/>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20" w:firstLineChars="200"/>
        <w:jc w:val="both"/>
        <w:textAlignment w:val="auto"/>
        <w:outlineLvl w:val="9"/>
        <w:rPr>
          <w:rFonts w:ascii="宋体" w:cs="宋体" w:eastAsia="宋体" w:hAnsi="宋体" w:hint="eastAsia"/>
          <w:color w:val="000000"/>
          <w:sz w:val="21"/>
          <w:szCs w:val="21"/>
          <w:lang w:val="en-US" w:eastAsia="zh-CN"/>
          <w14:textFill xmlns:w14="http://schemas.microsoft.com/office/word/2010/wordml">
            <w14:solidFill>
              <w14:schemeClr w14:val="tx1"/>
            </w14:solidFill>
          </w14:textFill>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right="0" w:rightChars="0"/>
        <w:jc w:val="both"/>
        <w:textAlignment w:val="auto"/>
        <w:outlineLvl w:val="9"/>
        <w:rPr>
          <w:rFonts w:ascii="宋体" w:cs="宋体" w:eastAsia="宋体" w:hAnsi="宋体" w:hint="eastAsia"/>
          <w:color w:val="000000"/>
          <w:sz w:val="21"/>
          <w:szCs w:val="21"/>
          <w:lang w:val="en-US" w:eastAsia="zh-CN"/>
          <w14:textFill xmlns:w14="http://schemas.microsoft.com/office/word/2010/wordml">
            <w14:solidFill>
              <w14:schemeClr w14:val="tx1"/>
            </w14:solidFill>
          </w14:textFill>
        </w:rPr>
      </w:pPr>
    </w:p>
    <w:p>
      <w:pPr>
        <w:pStyle w:val="style0"/>
        <w:rPr>
          <w:rFonts w:ascii="宋体" w:cs="宋体" w:eastAsia="宋体" w:hAnsi="宋体" w:hint="eastAsia"/>
          <w:color w:val="000000"/>
          <w:sz w:val="21"/>
          <w:szCs w:val="21"/>
          <w:lang w:val="en-US" w:eastAsia="zh-CN"/>
          <w14:textFill xmlns:w14="http://schemas.microsoft.com/office/word/2010/wordml">
            <w14:solidFill>
              <w14:schemeClr w14:val="tx1"/>
            </w14:solidFill>
          </w14:textFill>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30204"/>
    <w:charset w:val="00"/>
    <w:family w:val="roman"/>
    <w:pitch w:val="default"/>
    <w:sig w:usb0="E00002FF" w:usb1="400004FF" w:usb2="00000000" w:usb3="00000000" w:csb0="2000019F" w:csb1="00000000"/>
  </w:font>
  <w:font w:name="Calibri">
    <w:altName w:val="Calibri"/>
    <w:panose1 w:val="020f0502020002030204"/>
    <w:charset w:val="00"/>
    <w:family w:val="swiss"/>
    <w:pitch w:val="default"/>
    <w:sig w:usb0="E00002FF" w:usb1="4000ACFF" w:usb2="00000001" w:usb3="00000000" w:csb0="2000019F" w:csb1="00000000"/>
  </w:font>
  <w:font w:name="Calibri Light">
    <w:altName w:val="Calibri Light"/>
    <w:panose1 w:val="020f0302020002030204"/>
    <w:charset w:val="00"/>
    <w:family w:val="auto"/>
    <w:pitch w:val="default"/>
    <w:sig w:usb0="A00002EF" w:usb1="4000207B" w:usb2="00000000" w:usb3="00000000" w:csb0="2000019F" w:csb1="00000000"/>
  </w:font>
  <w:font w:name="仿宋">
    <w:altName w:val="仿宋"/>
    <w:panose1 w:val="02010609060001010101"/>
    <w:charset w:val="86"/>
    <w:family w:val="auto"/>
    <w:pitch w:val="default"/>
    <w:sig w:usb0="800002BF" w:usb1="38CF7CFA" w:usb2="00000016" w:usb3="00000000" w:csb0="00040001" w:csb1="00000000"/>
  </w:font>
  <w:font w:name="华文中宋">
    <w:altName w:val="华文中宋"/>
    <w:panose1 w:val="02010600040001010101"/>
    <w:charset w:val="86"/>
    <w:family w:val="auto"/>
    <w:pitch w:val="default"/>
    <w:sig w:usb0="00000287" w:usb1="080F0000" w:usb2="00000000" w:usb3="00000000" w:csb0="0004009F" w:csb1="DFD70000"/>
  </w:font>
  <w:font w:name="华文仿宋">
    <w:altName w:val="华文仿宋"/>
    <w:panose1 w:val="02010600040001010101"/>
    <w:charset w:val="86"/>
    <w:family w:val="auto"/>
    <w:pitch w:val="default"/>
    <w:sig w:usb0="00000287" w:usb1="080F0000" w:usb2="00000000" w:usb3="00000000" w:csb0="0004009F" w:csb1="DFD70000"/>
  </w:font>
  <w:font w:name="华文宋体">
    <w:altName w:val="华文宋体"/>
    <w:panose1 w:val="02010600040001010101"/>
    <w:charset w:val="86"/>
    <w:family w:val="auto"/>
    <w:pitch w:val="default"/>
    <w:sig w:usb0="00000287" w:usb1="080F0000" w:usb2="00000000" w:usb3="00000000" w:csb0="0004009F" w:csb1="DFD70000"/>
  </w:font>
  <w:font w:name="华文彩云">
    <w:altName w:val="华文彩云"/>
    <w:panose1 w:val="02010800040001010101"/>
    <w:charset w:val="86"/>
    <w:family w:val="auto"/>
    <w:pitch w:val="default"/>
    <w:sig w:usb0="00000001" w:usb1="080F0000" w:usb2="00000000" w:usb3="00000000" w:csb0="00040000" w:csb1="00000000"/>
  </w:font>
  <w:font w:name="华文新魏">
    <w:altName w:val="华文新魏"/>
    <w:panose1 w:val="02010800040001010101"/>
    <w:charset w:val="86"/>
    <w:family w:val="auto"/>
    <w:pitch w:val="default"/>
    <w:sig w:usb0="00000001" w:usb1="080F0000" w:usb2="00000000" w:usb3="00000000" w:csb0="00040000" w:csb1="00000000"/>
  </w:font>
  <w:font w:name="华文楷体">
    <w:altName w:val="华文楷体"/>
    <w:panose1 w:val="02010600040001010101"/>
    <w:charset w:val="86"/>
    <w:family w:val="auto"/>
    <w:pitch w:val="default"/>
    <w:sig w:usb0="00000287" w:usb1="080F0000" w:usb2="00000000" w:usb3="00000000" w:csb0="0004009F" w:csb1="DFD70000"/>
  </w:font>
  <w:font w:name="华文琥珀">
    <w:altName w:val="华文琥珀"/>
    <w:panose1 w:val="02010800040001010101"/>
    <w:charset w:val="86"/>
    <w:family w:val="auto"/>
    <w:pitch w:val="default"/>
    <w:sig w:usb0="00000001" w:usb1="080F0000" w:usb2="00000000" w:usb3="00000000" w:csb0="00040000" w:csb1="00000000"/>
  </w:font>
  <w:font w:name="华文细黑">
    <w:altName w:val="华文细黑"/>
    <w:panose1 w:val="02010600040001010101"/>
    <w:charset w:val="86"/>
    <w:family w:val="auto"/>
    <w:pitch w:val="default"/>
    <w:sig w:usb0="00000287" w:usb1="080F0000" w:usb2="00000000" w:usb3="00000000" w:csb0="0004009F" w:csb1="DFD70000"/>
  </w:font>
  <w:font w:name="华文行楷">
    <w:altName w:val="华文行楷"/>
    <w:panose1 w:val="02010800040001010101"/>
    <w:charset w:val="86"/>
    <w:family w:val="auto"/>
    <w:pitch w:val="default"/>
    <w:sig w:usb0="00000001" w:usb1="080F0000" w:usb2="00000000" w:usb3="00000000" w:csb0="00040000" w:csb1="00000000"/>
  </w:font>
  <w:font w:name="华文隶书">
    <w:altName w:val="华文隶书"/>
    <w:panose1 w:val="02010800040001010101"/>
    <w:charset w:val="86"/>
    <w:family w:val="auto"/>
    <w:pitch w:val="default"/>
    <w:sig w:usb0="00000001" w:usb1="080F0000" w:usb2="00000000" w:usb3="00000000" w:csb0="00040000" w:csb1="00000000"/>
  </w:font>
  <w:font w:name="等线">
    <w:altName w:val="等线"/>
    <w:panose1 w:val="02010600030001010101"/>
    <w:charset w:val="86"/>
    <w:family w:val="auto"/>
    <w:pitch w:val="default"/>
    <w:sig w:usb0="A00002BF" w:usb1="38CF7CFA" w:usb2="00000016" w:usb3="00000000" w:csb0="0004000F" w:csb1="00000000"/>
  </w:font>
  <w:font w:name="等线 Light">
    <w:altName w:val="等线 Light"/>
    <w:panose1 w:val="02010600030001010101"/>
    <w:charset w:val="86"/>
    <w:family w:val="auto"/>
    <w:pitch w:val="default"/>
    <w:sig w:usb0="A00002BF" w:usb1="38CF7CFA" w:usb2="00000016" w:usb3="00000000" w:csb0="0004000F" w:csb1="00000000"/>
  </w:font>
  <w:font w:name="隶书">
    <w:altName w:val="隶书"/>
    <w:panose1 w:val="02010509060001010101"/>
    <w:charset w:val="86"/>
    <w:family w:val="auto"/>
    <w:pitch w:val="default"/>
    <w:sig w:usb0="00000001" w:usb1="080E0000" w:usb2="00000000" w:usb3="00000000" w:csb0="00040000" w:csb1="00000000"/>
  </w:font>
  <w:font w:name="Franklin Gothic Demi Cond">
    <w:altName w:val="Franklin Gothic Demi Cond"/>
    <w:panose1 w:val="020b0706030004020204"/>
    <w:charset w:val="00"/>
    <w:family w:val="auto"/>
    <w:pitch w:val="default"/>
    <w:sig w:usb0="00000287" w:usb1="00000000" w:usb2="00000000" w:usb3="00000000" w:csb0="2000009F" w:csb1="DFD70000"/>
  </w:font>
  <w:font w:name="Franklin Gothic Demi">
    <w:altName w:val="Franklin Gothic Demi"/>
    <w:panose1 w:val="020b0703020001020204"/>
    <w:charset w:val="00"/>
    <w:family w:val="auto"/>
    <w:pitch w:val="default"/>
    <w:sig w:usb0="00000287" w:usb1="00000000" w:usb2="00000000" w:usb3="00000000" w:csb0="2000009F" w:csb1="DFD70000"/>
  </w:font>
  <w:font w:name="Franklin Gothic Book">
    <w:altName w:val="Franklin Gothic Book"/>
    <w:panose1 w:val="020b0503020001020204"/>
    <w:charset w:val="00"/>
    <w:family w:val="auto"/>
    <w:pitch w:val="default"/>
    <w:sig w:usb0="00000287" w:usb1="00000000" w:usb2="00000000" w:usb3="00000000" w:csb0="2000009F" w:csb1="DFD70000"/>
  </w:font>
  <w:font w:name="Forte">
    <w:altName w:val="Forte"/>
    <w:panose1 w:val="03060902040005070203"/>
    <w:charset w:val="00"/>
    <w:family w:val="auto"/>
    <w:pitch w:val="default"/>
    <w:sig w:usb0="00000003" w:usb1="00000000" w:usb2="00000000" w:usb3="00000000" w:csb0="20000001" w:csb1="00000000"/>
  </w:font>
  <w:font w:name="Footlight MT Light">
    <w:altName w:val="Footlight MT Light"/>
    <w:panose1 w:val="020406020600030203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dit="none" w:enforcement="0"/>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w="http://schemas.openxmlformats.org/wordprocessingml/2006/main">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qFormat/>
    <w:uiPriority w:val="0"/>
    <w:pPr/>
    <w:rPr/>
    <w:tblPr>
      <w:tblLayout w:type="fixed"/>
      <w:tblCellMar>
        <w:top w:w="0" w:type="dxa"/>
        <w:left w:w="108" w:type="dxa"/>
        <w:bottom w:w="0" w:type="dxa"/>
        <w:right w:w="108" w:type="dxa"/>
      </w:tblCellMar>
    </w:tblPr>
    <w:tcPr>
      <w:tcBorders/>
    </w:tcPr>
  </w:style>
  <w:style w:type="paragraph" w:styleId="style94">
    <w:name w:val="Normal (Web)"/>
    <w:basedOn w:val="style0"/>
    <w:next w:val="style94"/>
    <w:qFormat/>
    <w:uiPriority w:val="0"/>
    <w:pPr>
      <w:spacing w:before="0" w:beforeAutospacing="true" w:after="0" w:afterAutospacing="true"/>
      <w:ind w:left="0" w:right="0"/>
      <w:jc w:val="left"/>
    </w:pPr>
    <w:rPr>
      <w:kern w:val="0"/>
      <w:sz w:val="24"/>
      <w:lang w:val="en-US" w:eastAsia="zh-CN"/>
    </w:rPr>
  </w:style>
  <w:style w:type="character" w:styleId="style85">
    <w:name w:val="Hyperlink"/>
    <w:basedOn w:val="style65"/>
    <w:next w:val="style85"/>
    <w:qFormat/>
    <w:uiPriority w:val="0"/>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3406</Words>
  <Characters>3448</Characters>
  <Application>WPS Office</Application>
  <DocSecurity>0</DocSecurity>
  <Paragraphs>37</Paragraphs>
  <ScaleCrop>false</ScaleCrop>
  <LinksUpToDate>false</LinksUpToDate>
  <CharactersWithSpaces>3460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2016-11-06T12:29:00Z</dcterms:created>
  <dc:creator>dell</dc:creator>
  <lastModifiedBy>OPPO A37m</lastModifiedBy>
  <dcterms:modified xsi:type="dcterms:W3CDTF">2016-12-10T08:06:19Z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